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570" w:type="dxa"/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0944AC">
        <w:trPr>
          <w:trHeight w:val="310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944AC" w:rsidRDefault="0073462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_x0000_tole_rId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ED616" id="_x0000_tole_rId2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OL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OEVU4tdAgAAsQQAAA4AAAAAAAAAAAAAAAAALgIAAGRycy9lMm9Eb2MueG1sUEsB&#10;Ai0AFAAGAAgAAAAhAIZbh9XYAAAABQEAAA8AAAAAAAAAAAAAAAAAtwQAAGRycy9kb3ducmV2Lnht&#10;bFBLBQYAAAAABAAEAPMAAAC8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object w:dxaOrig="76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38.25pt;height:45.75pt;visibility:visible;mso-wrap-distance-right:0" o:ole="">
                  <v:imagedata r:id="rId5" o:title=""/>
                </v:shape>
                <o:OLEObject Type="Embed" ProgID="CorelDRAW.Graphic.9" ShapeID="ole_rId2" DrawAspect="Content" ObjectID="_1806754555" r:id="rId6"/>
              </w:object>
            </w:r>
          </w:p>
          <w:p w:rsidR="000944AC" w:rsidRDefault="0073462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944AC" w:rsidRDefault="0073462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944AC" w:rsidRDefault="0073462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ТАШЛИНСКИЙ РАЙОН</w:t>
            </w:r>
          </w:p>
          <w:p w:rsidR="000944AC" w:rsidRDefault="0073462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944AC" w:rsidRDefault="000944AC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944AC" w:rsidRDefault="00734629">
            <w:pPr>
              <w:pStyle w:val="FR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0944AC" w:rsidRDefault="000944AC">
            <w:pPr>
              <w:pStyle w:val="FR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944AC" w:rsidRDefault="0073462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5680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944AC" w:rsidRDefault="0073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Ташла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944AC" w:rsidRDefault="000944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944A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944AC" w:rsidRDefault="0073462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отдыха, оздоровления и занятости детей и подростков в 2025 году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944AC" w:rsidRDefault="000944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944AC" w:rsidRDefault="000944AC">
      <w:pPr>
        <w:shd w:val="clear" w:color="auto" w:fill="FFFFFF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AC" w:rsidRDefault="000944AC">
      <w:pPr>
        <w:shd w:val="clear" w:color="auto" w:fill="FFFFFF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Оренбургской области от 30 апреля 2020 года N 208-ук «Об организации отдыха, оздоровления и занятости детей и подростков в Оренбургской области», в целях обеспечения полноценного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Создать межведомственную координационную комиссию по вопросам организации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2025 году и утвердить в составе, согласно приложению 1.</w:t>
      </w:r>
    </w:p>
    <w:p w:rsidR="000944AC" w:rsidRDefault="00734629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положение о межведомственной координационной комиссии по вопросам организации отдыха, оздоровления и занятости детей и подростков в </w:t>
      </w:r>
      <w:proofErr w:type="spellStart"/>
      <w:r>
        <w:rPr>
          <w:rFonts w:ascii="Times New Roman" w:hAnsi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в 2025 году, согласно приложению 2.</w:t>
      </w:r>
    </w:p>
    <w:p w:rsidR="000944AC" w:rsidRDefault="00734629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Межведомственной координационной комиссии:</w:t>
      </w:r>
    </w:p>
    <w:p w:rsidR="000944AC" w:rsidRDefault="00734629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осуществлять координацию деятельности в сфере организации отдыха, оздоровления и занятости детей и подростков;</w:t>
      </w:r>
    </w:p>
    <w:p w:rsidR="000944AC" w:rsidRDefault="00734629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 провести проверку готовности образовательных организаций к летней оздоровительной кампании в период с 26 мая 2025 года по 29 мая 2025 года, согласно приложению 3;</w:t>
      </w:r>
    </w:p>
    <w:p w:rsidR="000944AC" w:rsidRDefault="00734629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провести экспертизу программ лагерей дневного пребывания детей, летнего оздоровительного лагеря с круглосуточным пребыванием детей;</w:t>
      </w:r>
    </w:p>
    <w:p w:rsidR="000944AC" w:rsidRDefault="00734629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осуществлять контроль работы лагерей дневного пребывания детей, </w:t>
      </w:r>
      <w:proofErr w:type="gramStart"/>
      <w:r>
        <w:rPr>
          <w:rFonts w:ascii="Times New Roman" w:hAnsi="Times New Roman"/>
          <w:sz w:val="28"/>
          <w:szCs w:val="28"/>
        </w:rPr>
        <w:t>лагеря</w:t>
      </w:r>
      <w:proofErr w:type="gramEnd"/>
      <w:r>
        <w:rPr>
          <w:rFonts w:ascii="Times New Roman" w:hAnsi="Times New Roman"/>
          <w:sz w:val="28"/>
          <w:szCs w:val="28"/>
        </w:rPr>
        <w:t xml:space="preserve"> с круглосуточным пребыванием детей, согласно приложению 4.</w:t>
      </w:r>
    </w:p>
    <w:p w:rsidR="000944AC" w:rsidRDefault="00734629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Финансовому отделу администрации района (Горшкова О.Н.) осуществлять контроль расходования средств, выделяемых на организацию отдыха, оздоровления и занятости детей и подростков.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Начальнику муниципального учреждения Управление образования (далее МУ УО) Щетинину А.П.: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До 1 июня 2025 года подготовить ведомственные приказы и планы мероприятий по организации детского отдыха, оздоровления и занятости детей.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 Принять необходимые меры по подготовке материально-технической базы лагерей с дневным пребыванием детей на базе общеобразовательных организаций района в соответствии с санитарно-эпидемиологическими требованиями, установленными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ascii="Times New Roman" w:hAnsi="Times New Roman" w:cs="Times New Roman"/>
          <w:sz w:val="28"/>
          <w:szCs w:val="28"/>
        </w:rPr>
        <w:t>и дальнейшему развитию системы детского отдыха, оздоровления и занятости, сохранению имеющейся сети организаций, на базе, которых организован отдых, оздоровление и занятость детей.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Обеспечить контроль за выполнением требований законодательства в части обеспечения пожарной безопасности, антитеррористической защищенности, санитарно-эпидемиологического благополучия и оказания медицинской помощи.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 Не допускать открытия лагерей с дневным пребыванием детей без согласования с территориальным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 установленном законодательством Российской Федерации порядке.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Обеспечить целевое использование бюджетных средств, выделяемых на отдых и оздоровление детей.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Организовать: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финансовое обеспечение отдыха и оздоровления детей;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приоритетном порядке отдых, оздоровление, занятость детей, граждан Российской Федерации, призванных на военную службу по мобилизации или заключивших контракт о добровольном содействии в выполнении задач, возложенных на Вооруженные Силы Российской Федерации в зоне Специальной военной операции на Украине, детей, оставшихся без попечения родителей, детей-инвалидов, детей военнослужащих, детей-жертв вооруженных и межнациональных конфликтов, детей, проживающих в малоимущих семьях, детей, состоящих на всех видах профилактического учета, а также других категорий детей, нуждающихся в особой заботе государства;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составление и передачу отчетных данных по организации отдыха, оздоровления и занятости детей и подростков в вышестоящие организации.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Осуществлять координацию деятельности рабочей группы по контролю и оказанию методической помощи в организации детской оздоровительной кампании.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Осуществлять мониторинг эффективности отдыха и оздоровления детей.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Обеспечить координацию работы по укомплектованию детских оздоровительных лагерей педагогическими кадрами, имеющими соответствующий уровень профессиональной подготовки и опыт работы, владеющими современными педагогическими и оздоровительными технологиями, а также программно-методическому обеспечению детской оздоровительной кампании 2025 года.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 Провести в июне-августе 2025 года районный смотр-конкурс лагерей дневного пребывания и программ отдыха, оздоровления и занятости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 Обеспечить: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организацию полноценного питания детей;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подбор и подготовку квалифицированного персонала пищеблоков, имеющего опыт работы в детских оздоровительных организациях;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перевозками автомобильным транспортом организованных групп детей к местам отдыха, оздоровления и обратно в соответствии с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исполнения всех требований и предписаний надзорных органов и обеспечением безопасного пребывания детей в детских оздоровительных организациях;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мониторинг отдыха и оздоровления детей, в том числе эффективности деятельности детских оздоровительных организаций.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 Провести приемку всех оздоровительных организаций до 29.05.2025 года.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Начальнику отдела по делам молодежи, физкультуры, спорта и туризма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 1 июня 2025 года подготовить ведомственные приказы и планы мероприятий по организации детского отдыха, оздоровления и занятости детей;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организовать программное, кадровое и методическое сопровождение районных спортивных площадок кратковременного пребывания детей (в приоритетном порядке для категорий детей, находящихся в социально-опасном положении);</w:t>
      </w:r>
    </w:p>
    <w:p w:rsidR="000944AC" w:rsidRDefault="0073462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координацию деятельности по организации площадок кратковременного пребывания детей по месту жительства в каникулярный период;</w:t>
      </w:r>
    </w:p>
    <w:p w:rsidR="000944AC" w:rsidRDefault="007346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Заведующему отделом культуры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Мякишеву  В.В.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 1 июня 2025 года подготовить ведомственные приказы и планы мероприятий по организации детского отдыха, оздоровления и занятости детей;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организовать программное, кадровое и методическое сопровождение районных площадок кратковременного пребывания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приоритетном порядке для категорий детей, находящихся в социально-опасном положении);</w:t>
      </w:r>
    </w:p>
    <w:p w:rsidR="000944AC" w:rsidRDefault="0073462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Комиссии по делам несовершеннолетних и защите их прав провести работу по организации занятости подростков, состоящих на профилактическом учете, в период летней оздоровительной кампании и каникулярное время.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Рекомендовать:</w:t>
      </w:r>
    </w:p>
    <w:p w:rsidR="000944AC" w:rsidRDefault="00734629">
      <w:pPr>
        <w:widowControl w:val="0"/>
        <w:tabs>
          <w:tab w:val="left" w:pos="993"/>
          <w:tab w:val="left" w:pos="1134"/>
          <w:tab w:val="left" w:pos="1418"/>
          <w:tab w:val="left" w:pos="6379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 Директору ГБУСО «КЦСОН»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Дегтяреву Д.А.: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утвердить порядок предоставления путевок в лагеря, организованные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муниципальными организациями, осуществляющими организацию отдыха и оздоровления детей;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организовать работу по приобретению путевок в организации отдыха и оздоровления и </w:t>
      </w:r>
      <w:r>
        <w:rPr>
          <w:rFonts w:ascii="Times New Roman" w:hAnsi="Times New Roman" w:cs="Times New Roman"/>
          <w:sz w:val="28"/>
          <w:szCs w:val="28"/>
        </w:rPr>
        <w:t>получение государственной поддержки в виде сертификата или компенсации на отдых и оздоровление детей.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Главному врачу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9.2.1. Контролировать и координировать: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работы по медицинскому обеспечению мероприятий, связанных с организацией отдыха и оздоровления детей;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комплектование организаций отдыха и оздоровления детей и подростков квалифицированным медицинским персоналом, имеющим опыт работы с детьми в оздоровительных организациях;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выдачу справок об отсутствии контакта с инфекционными больными по месту жительства амбулаторно-поликлиническими учреждениями за 3 дня до отъезда;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работы по выделению специалистов для медицинского сопровождения организованных групп детей к местам отдыха, оздоровления и обратно.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 Проводить реабилитационное лечение детей, состоящих на диспансерном учете, на базе ГБУЗ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Ташлинская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РБ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9.2.3. Осуществлять мониторинг эффективности оздоровления детей, отдыхающих во всех типах оздоровительных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44AC" w:rsidRDefault="007346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Директору ГКУ «ЦЗН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Акименко Т.Н.:</w:t>
      </w:r>
    </w:p>
    <w:p w:rsidR="000944AC" w:rsidRDefault="007346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временного трудоустройства несовершеннолетних граждан в возрасте от 14 до 18 лет особое внимание уделять детям-сиротам, детям из малоимущих, неполных, многодетных семей, подросткам из семей социального риска;</w:t>
      </w:r>
    </w:p>
    <w:p w:rsidR="000944AC" w:rsidRDefault="007346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соблюдение норм трудового законодательства при заключении договоров с учреждениями по организации временного трудоустройства несовершеннолетних граждан; 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Начальнику отдела Министерства внутренних дел Российской Федерации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Мокроусову В.А.:</w:t>
      </w:r>
    </w:p>
    <w:p w:rsidR="000944AC" w:rsidRDefault="007346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содействие в обеспечении общественного порядка и безопасности при перевозке детей к местам отдыха и обратно, а также в период их пребывания в детских оздоровительных организациях;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на межведомственной основе мероприятия по предупреждению безнадзорности, правонарушений, детского дорожно-транспортного травматизма и созданию условий для безопасного нахождения детей на улицах в период каникул;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силами сотрудников отдела по делам несовершеннолетних отдела Министерства внутренних дел Российской Федерации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(далее ПДН ОМВД РФ), отделу Государственной Инспекции Безопасности Дорожного Движения отдела Министерства внутренних дел Российской Федерации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ОГИБДД ОМВД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району) профилактические мероприятия с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учащимися.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Начальнику ОНД и ПР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УНД и ПР ГУ МЧС России по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Краденову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осуществление государственного пожарного надзора в детских оздоровительных организациях;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инструктажах по мерам пожарной безопасности руководителей лагерей с дневным пребыванием детей;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по пропаганде правил пожарной безопасности с детьми в период летних каникул.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Специалисту-эксперту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С.А.: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государственный санитарно-эпидемиологический надзор в детских оздоровительных организациях в пределах полномочий.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настоящего постановления возложить на заместителя главы администрации района по социальным вопросам 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Чепрасову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4AC" w:rsidRDefault="0073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44AC" w:rsidRDefault="00094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AC" w:rsidRDefault="00094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AC" w:rsidRDefault="007346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944AC" w:rsidRDefault="0073462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А.П.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AC" w:rsidRDefault="00734629">
      <w:pPr>
        <w:widowControl w:val="0"/>
        <w:spacing w:after="0" w:line="240" w:lineRule="auto"/>
        <w:ind w:left="1415" w:firstLine="709"/>
        <w:jc w:val="center"/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</w:pPr>
      <w:r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25165465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  <w:t xml:space="preserve"> </w:t>
      </w: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 w:line="240" w:lineRule="auto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/>
        <w:ind w:right="234"/>
        <w:jc w:val="both"/>
        <w:rPr>
          <w:rFonts w:ascii="Times New Roman" w:hAnsi="Times New Roman" w:cs="Times New Roman"/>
        </w:rPr>
      </w:pPr>
    </w:p>
    <w:p w:rsidR="000944AC" w:rsidRDefault="000944AC">
      <w:pPr>
        <w:widowControl w:val="0"/>
        <w:spacing w:after="0"/>
        <w:ind w:right="234"/>
        <w:jc w:val="both"/>
        <w:rPr>
          <w:rFonts w:ascii="Times New Roman" w:hAnsi="Times New Roman" w:cs="Times New Roman"/>
        </w:rPr>
      </w:pPr>
    </w:p>
    <w:p w:rsidR="000944AC" w:rsidRDefault="00734629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Разослано: Правительству области, прокурору района, </w:t>
      </w:r>
      <w:proofErr w:type="spellStart"/>
      <w:r>
        <w:rPr>
          <w:rFonts w:ascii="Times New Roman" w:hAnsi="Times New Roman" w:cs="Times New Roman"/>
        </w:rPr>
        <w:t>Чепрасовой</w:t>
      </w:r>
      <w:proofErr w:type="spellEnd"/>
      <w:r>
        <w:rPr>
          <w:rFonts w:ascii="Times New Roman" w:hAnsi="Times New Roman" w:cs="Times New Roman"/>
        </w:rPr>
        <w:t xml:space="preserve"> Т.Н., Горшковой О.Н., главам муниципальных образований, Управлению образования, ОМВД России по </w:t>
      </w:r>
      <w:proofErr w:type="spellStart"/>
      <w:r>
        <w:rPr>
          <w:rFonts w:ascii="Times New Roman" w:hAnsi="Times New Roman" w:cs="Times New Roman"/>
        </w:rPr>
        <w:t>Ташлинскому</w:t>
      </w:r>
      <w:proofErr w:type="spellEnd"/>
      <w:r>
        <w:rPr>
          <w:rFonts w:ascii="Times New Roman" w:hAnsi="Times New Roman" w:cs="Times New Roman"/>
        </w:rPr>
        <w:t xml:space="preserve"> району, ГБУЗ «</w:t>
      </w:r>
      <w:proofErr w:type="spellStart"/>
      <w:r>
        <w:rPr>
          <w:rFonts w:ascii="Times New Roman" w:hAnsi="Times New Roman" w:cs="Times New Roman"/>
        </w:rPr>
        <w:t>Ташлинская</w:t>
      </w:r>
      <w:proofErr w:type="spellEnd"/>
      <w:r>
        <w:rPr>
          <w:rFonts w:ascii="Times New Roman" w:hAnsi="Times New Roman" w:cs="Times New Roman"/>
        </w:rPr>
        <w:t xml:space="preserve"> РБ», КДН и ЗП администрации района, отделу по делам молодежи, спорту и физической культуре, отделу культуры, главному специалисту-эксперту ЮЗТО  Управления </w:t>
      </w:r>
      <w:proofErr w:type="spellStart"/>
      <w:r>
        <w:rPr>
          <w:rFonts w:ascii="Times New Roman" w:hAnsi="Times New Roman" w:cs="Times New Roman"/>
        </w:rPr>
        <w:t>Роспоребнадзора</w:t>
      </w:r>
      <w:proofErr w:type="spellEnd"/>
      <w:r>
        <w:rPr>
          <w:rFonts w:ascii="Times New Roman" w:hAnsi="Times New Roman" w:cs="Times New Roman"/>
        </w:rPr>
        <w:t xml:space="preserve"> по Оренбургской области, ГБУСО «КЦСОН», отделу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</w:rPr>
        <w:t>Ташлинскому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Илекскому</w:t>
      </w:r>
      <w:proofErr w:type="spellEnd"/>
      <w:r>
        <w:rPr>
          <w:rFonts w:ascii="Times New Roman" w:hAnsi="Times New Roman" w:cs="Times New Roman"/>
        </w:rPr>
        <w:t xml:space="preserve">  районам, ГКУ «ЦЗН </w:t>
      </w:r>
      <w:proofErr w:type="spellStart"/>
      <w:r>
        <w:rPr>
          <w:rFonts w:ascii="Times New Roman" w:hAnsi="Times New Roman" w:cs="Times New Roman"/>
        </w:rPr>
        <w:t>Ташлинского</w:t>
      </w:r>
      <w:proofErr w:type="spellEnd"/>
      <w:r>
        <w:rPr>
          <w:rFonts w:ascii="Times New Roman" w:hAnsi="Times New Roman" w:cs="Times New Roman"/>
        </w:rPr>
        <w:t xml:space="preserve"> района».</w:t>
      </w:r>
    </w:p>
    <w:p w:rsidR="000944AC" w:rsidRDefault="00734629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Исп. А.П. Щетинин</w:t>
      </w:r>
    </w:p>
    <w:p w:rsidR="000944AC" w:rsidRDefault="0073462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944AC" w:rsidRDefault="00734629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944AC" w:rsidRDefault="00734629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944AC" w:rsidRDefault="00734629">
      <w:pPr>
        <w:widowControl w:val="0"/>
        <w:tabs>
          <w:tab w:val="left" w:pos="540"/>
        </w:tabs>
        <w:spacing w:after="0" w:line="240" w:lineRule="auto"/>
        <w:ind w:left="5670"/>
        <w:rPr>
          <w:szCs w:val="20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</w:t>
      </w:r>
    </w:p>
    <w:p w:rsidR="000944AC" w:rsidRDefault="000944AC">
      <w:pPr>
        <w:widowControl w:val="0"/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0944AC" w:rsidRDefault="00734629">
      <w:pPr>
        <w:widowControl w:val="0"/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координационной комиссии</w:t>
      </w:r>
    </w:p>
    <w:p w:rsidR="000944AC" w:rsidRDefault="00734629">
      <w:pPr>
        <w:widowControl w:val="0"/>
        <w:shd w:val="clear" w:color="auto" w:fill="FFFFFF"/>
        <w:spacing w:after="0"/>
        <w:ind w:left="1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организации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2025году.</w:t>
      </w:r>
    </w:p>
    <w:p w:rsidR="000944AC" w:rsidRDefault="000944AC">
      <w:pPr>
        <w:widowControl w:val="0"/>
        <w:shd w:val="clear" w:color="auto" w:fill="FFFFFF"/>
        <w:spacing w:after="0"/>
        <w:ind w:left="1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комиссии, заместитель главы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по социальным вопросам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Чепрасова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комиссии, 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А.П. Щетинин</w:t>
            </w:r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 Степаненко</w:t>
            </w:r>
          </w:p>
        </w:tc>
      </w:tr>
      <w:tr w:rsidR="000944AC">
        <w:tc>
          <w:tcPr>
            <w:tcW w:w="9569" w:type="dxa"/>
            <w:gridSpan w:val="2"/>
          </w:tcPr>
          <w:p w:rsidR="000944AC" w:rsidRDefault="000944A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44AC" w:rsidRDefault="007346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ГБУСО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КЦСОН»в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Д.А. Дегтярев</w:t>
            </w:r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врач ГБУЗ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Юткин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ГКУ Центра занятости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населенияТашлинского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 Акименко</w:t>
            </w:r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секретарь КДН и ЗП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администрации района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Абдугалеева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Оренбургской области (по согласованию)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Трубникова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ПДН ОМВД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согласованию)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Т.С. Ермакова</w:t>
            </w:r>
          </w:p>
        </w:tc>
      </w:tr>
      <w:tr w:rsidR="000944AC">
        <w:tc>
          <w:tcPr>
            <w:tcW w:w="4785" w:type="dxa"/>
          </w:tcPr>
          <w:p w:rsidR="000944AC" w:rsidRDefault="00734629">
            <w:pPr>
              <w:pStyle w:val="5"/>
              <w:widowControl w:val="0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lastRenderedPageBreak/>
              <w:t xml:space="preserve">Начальник отдела по делам молодежи, </w:t>
            </w:r>
            <w:proofErr w:type="spellStart"/>
            <w:proofErr w:type="gramStart"/>
            <w:r>
              <w:rPr>
                <w:b w:val="0"/>
                <w:color w:val="000000"/>
                <w:szCs w:val="28"/>
              </w:rPr>
              <w:t>физкультуры,спорта</w:t>
            </w:r>
            <w:proofErr w:type="spellEnd"/>
            <w:proofErr w:type="gramEnd"/>
            <w:r>
              <w:rPr>
                <w:b w:val="0"/>
                <w:color w:val="000000"/>
                <w:szCs w:val="28"/>
              </w:rPr>
              <w:t xml:space="preserve"> и туризма</w:t>
            </w:r>
          </w:p>
          <w:p w:rsidR="000944AC" w:rsidRDefault="000944AC">
            <w:pPr>
              <w:widowControl w:val="0"/>
              <w:spacing w:after="0"/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Ф.А. Садчиков</w:t>
            </w:r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по делам молодежи, физкультуры, спорта и туризма администрации района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Филатьева</w:t>
            </w:r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 администрации района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Мякишев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ЦДОД»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Парчайкина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СШ «Чемпион»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Жулавшинов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ГКЗО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ОВО ФФГКУ «УВО ВНГ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Оренбургской области», 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лейтенант полиции (по согласованию)</w:t>
            </w:r>
          </w:p>
          <w:p w:rsidR="000944AC" w:rsidRDefault="000944A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В.Л.Балицкий</w:t>
            </w:r>
            <w:proofErr w:type="spellEnd"/>
          </w:p>
        </w:tc>
      </w:tr>
      <w:tr w:rsidR="000944AC">
        <w:tc>
          <w:tcPr>
            <w:tcW w:w="4785" w:type="dxa"/>
          </w:tcPr>
          <w:p w:rsidR="000944AC" w:rsidRDefault="0073462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 РДДМ</w:t>
            </w:r>
          </w:p>
        </w:tc>
        <w:tc>
          <w:tcPr>
            <w:tcW w:w="4784" w:type="dxa"/>
          </w:tcPr>
          <w:p w:rsidR="000944AC" w:rsidRDefault="0073462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Нематов</w:t>
            </w:r>
            <w:proofErr w:type="spellEnd"/>
          </w:p>
        </w:tc>
      </w:tr>
    </w:tbl>
    <w:p w:rsidR="000944AC" w:rsidRDefault="000944AC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0944AC" w:rsidRDefault="000944AC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0944AC" w:rsidRDefault="000944AC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0944AC" w:rsidRDefault="000944AC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0944AC" w:rsidRDefault="000944AC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0944AC" w:rsidRDefault="0073462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944AC" w:rsidRDefault="0073462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0944AC" w:rsidRDefault="0073462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944AC" w:rsidRDefault="00734629">
      <w:pPr>
        <w:spacing w:after="0"/>
        <w:ind w:left="5670"/>
        <w:textAlignment w:val="baseline"/>
        <w:rPr>
          <w:szCs w:val="20"/>
        </w:rPr>
      </w:pPr>
      <w:r>
        <w:rPr>
          <w:rFonts w:ascii="Tahoma" w:hAnsi="Tahoma" w:cs="Tahoma"/>
          <w:sz w:val="16"/>
          <w:szCs w:val="20"/>
        </w:rPr>
        <w:t xml:space="preserve"> </w:t>
      </w:r>
      <w:r>
        <w:rPr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20"/>
        </w:rPr>
        <w:t xml:space="preserve"> </w:t>
      </w:r>
    </w:p>
    <w:p w:rsidR="000944AC" w:rsidRDefault="000944AC">
      <w:pPr>
        <w:tabs>
          <w:tab w:val="left" w:pos="0"/>
        </w:tabs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0944AC" w:rsidRDefault="0073462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межведомственной координационной комиссии</w:t>
      </w:r>
    </w:p>
    <w:p w:rsidR="000944AC" w:rsidRDefault="0073462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в 2025 году.</w:t>
      </w:r>
    </w:p>
    <w:p w:rsidR="000944AC" w:rsidRDefault="000944AC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944AC" w:rsidRDefault="00734629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координационная комиссия по организации оздоровления и отдыха детей (далее - комиссия) является постоянно действующим коллегиальным совещательным органом, созданным в целях принятия эффективных мер по обоснованному и целенаправленному решению вопросов в сфере организации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0944AC" w:rsidRDefault="00734629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действующим законодательством Российской Федерации, Оренбургской области и настоящим Положением.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главы администрации района.</w:t>
      </w:r>
    </w:p>
    <w:p w:rsidR="000944AC" w:rsidRDefault="00734629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944AC" w:rsidRDefault="00734629">
      <w:pPr>
        <w:shd w:val="clear" w:color="auto" w:fill="FFFFFF"/>
        <w:tabs>
          <w:tab w:val="left" w:pos="10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выявление и оказание содействия в решении наиболее актуальных вопросов в сфере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944AC" w:rsidRDefault="00734629">
      <w:pPr>
        <w:shd w:val="clear" w:color="auto" w:fill="FFFFFF"/>
        <w:tabs>
          <w:tab w:val="left" w:pos="10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разработка мероприятий, программ и предложений по повышению эффективности организации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0944AC" w:rsidRDefault="00734629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Права комиссии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0944AC" w:rsidRDefault="00734629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главы администрации района и на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предложения по вопросам, входящим в компетенцию комиссии;</w:t>
      </w:r>
    </w:p>
    <w:p w:rsidR="000944AC" w:rsidRDefault="00734629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подготовке проектов постановлений главы администрации района и решений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направленных на решение вопросов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944AC" w:rsidRDefault="00734629">
      <w:pPr>
        <w:shd w:val="clear" w:color="auto" w:fill="FFFFFF"/>
        <w:tabs>
          <w:tab w:val="left" w:pos="851"/>
          <w:tab w:val="left" w:pos="106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информацию руководителей структурных подразделений администрации района, представителей органов местного самоуправления района, организаций и учреждений по вопросам организации отдыха, оздоровления и занятости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944AC" w:rsidRDefault="00734629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запрашивать и получать в соответствии с действующим законодательством Российской Федерации от организаций и учреждений информацию    по вопросам, относящимся к компетенции комиссии;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из числа членов комиссии и привлеченных специалистов рабочие группы для изучения, разработки и оценки программ и предложений, направленных на повышение эффективности организации отдыха, оздоровления и занятости детей 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а также для проверки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оздоровления в организациях.</w:t>
      </w:r>
    </w:p>
    <w:p w:rsidR="000944AC" w:rsidRDefault="00734629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Председателем комиссии является заместитель главы администрации района по социальным вопросам.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комиссией и координирует ее деятельность.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Секретарь комиссии обеспечивает оповещение членов комиссии и приглашенных о дне заседаний, повестке дня и других вопросах.</w:t>
      </w:r>
    </w:p>
    <w:p w:rsidR="000944AC" w:rsidRDefault="0073462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работе комиссии могут принимать участие представители органов местного самоуправления, заинтересованных предприятий, организаций и учреждений.</w:t>
      </w:r>
    </w:p>
    <w:p w:rsidR="000944AC" w:rsidRDefault="00734629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Заседание комиссии</w:t>
      </w:r>
    </w:p>
    <w:p w:rsidR="000944AC" w:rsidRDefault="0073462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комиссии, а в случае его отсутствия – заместитель председателя комиссии.</w:t>
      </w:r>
    </w:p>
    <w:p w:rsidR="000944AC" w:rsidRDefault="0073462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работает на основании планов, которые обсуждаются на заседании комиссии.</w:t>
      </w:r>
    </w:p>
    <w:p w:rsidR="000944AC" w:rsidRDefault="00734629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заседания комиссии формируется секретарем комиссии на основании плана и предложений членов комиссии, которые предоставляются секретарю комиссии вместе с необходимым материалом.</w:t>
      </w:r>
    </w:p>
    <w:p w:rsidR="000944AC" w:rsidRDefault="00734629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Решение комиссии</w:t>
      </w:r>
    </w:p>
    <w:p w:rsidR="000944AC" w:rsidRDefault="00734629">
      <w:pPr>
        <w:shd w:val="clear" w:color="auto" w:fill="FFFFFF"/>
        <w:tabs>
          <w:tab w:val="left" w:pos="118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Решение комиссии носят рекомендательный характер.</w:t>
      </w:r>
    </w:p>
    <w:p w:rsidR="000944AC" w:rsidRDefault="00734629">
      <w:pPr>
        <w:shd w:val="clear" w:color="auto" w:fill="FFFFFF"/>
        <w:tabs>
          <w:tab w:val="left" w:pos="134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>Комиссия принимает решение простым большинством голосов. Решение комиссии правомочны, если в заседании участвуют не менее половины членов комиссии.</w:t>
      </w:r>
    </w:p>
    <w:p w:rsidR="000944AC" w:rsidRDefault="00734629">
      <w:pPr>
        <w:shd w:val="clear" w:color="auto" w:fill="FFFFFF"/>
        <w:tabs>
          <w:tab w:val="left" w:pos="121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>Решение комиссии оформляется протоколом, который подписывается председателем комиссии и секретарем комиссии, и доводится до сведения соответствующих организации в виде выписок протокола заседании комиссии.</w:t>
      </w:r>
    </w:p>
    <w:p w:rsidR="000944AC" w:rsidRDefault="0073462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944AC" w:rsidRDefault="0073462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944AC" w:rsidRDefault="0073462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944AC" w:rsidRDefault="00734629">
      <w:pPr>
        <w:spacing w:after="0" w:line="240" w:lineRule="auto"/>
        <w:ind w:left="5670"/>
        <w:rPr>
          <w:szCs w:val="20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</w:t>
      </w:r>
    </w:p>
    <w:p w:rsidR="000944AC" w:rsidRDefault="00094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4AC" w:rsidRDefault="00734629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944AC" w:rsidRDefault="00734629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приёмки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летних оздоровительных лагерей, организованных </w:t>
      </w:r>
    </w:p>
    <w:p w:rsidR="000944AC" w:rsidRDefault="00734629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базе общеобразовательных организаций </w:t>
      </w:r>
    </w:p>
    <w:p w:rsidR="000944AC" w:rsidRDefault="000944A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0944AC">
        <w:tc>
          <w:tcPr>
            <w:tcW w:w="9039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</w:tr>
      <w:tr w:rsidR="000944AC">
        <w:tc>
          <w:tcPr>
            <w:tcW w:w="9039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0944AC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AC">
        <w:tc>
          <w:tcPr>
            <w:tcW w:w="9039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</w:t>
            </w:r>
          </w:p>
        </w:tc>
      </w:tr>
      <w:tr w:rsidR="000944AC">
        <w:tc>
          <w:tcPr>
            <w:tcW w:w="9039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Яснополянская СОШ им. Героя РФ Д. Васильченко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филиал МБОУ Яснополянская СОШ им. Героя РФ Д. Васильченко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944AC">
        <w:tc>
          <w:tcPr>
            <w:tcW w:w="9039" w:type="dxa"/>
          </w:tcPr>
          <w:p w:rsidR="000944AC" w:rsidRDefault="000944AC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28.05.2025</w:t>
            </w:r>
          </w:p>
        </w:tc>
      </w:tr>
      <w:tr w:rsidR="000944AC">
        <w:tc>
          <w:tcPr>
            <w:tcW w:w="9039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Придолинная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0944AC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4AC" w:rsidRDefault="00734629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29.05.2025</w:t>
      </w:r>
    </w:p>
    <w:p w:rsidR="000944AC" w:rsidRDefault="00734629">
      <w:pPr>
        <w:tabs>
          <w:tab w:val="left" w:pos="3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944AC" w:rsidRDefault="00734629">
      <w:pPr>
        <w:tabs>
          <w:tab w:val="left" w:pos="3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Калининская СОШ</w:t>
      </w:r>
    </w:p>
    <w:p w:rsidR="000944AC" w:rsidRDefault="000944AC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0944AC" w:rsidRDefault="000944AC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0944AC" w:rsidRDefault="000944AC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0944AC" w:rsidRDefault="000944AC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0944AC" w:rsidRDefault="0073462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944AC" w:rsidRDefault="00734629">
      <w:pPr>
        <w:tabs>
          <w:tab w:val="left" w:pos="54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0944AC" w:rsidRDefault="00734629">
      <w:pPr>
        <w:tabs>
          <w:tab w:val="left" w:pos="54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944AC" w:rsidRDefault="00734629">
      <w:pPr>
        <w:spacing w:after="0"/>
        <w:ind w:left="5670"/>
        <w:rPr>
          <w:szCs w:val="20"/>
        </w:rPr>
      </w:pPr>
      <w:r>
        <w:rPr>
          <w:rFonts w:ascii="Tahoma" w:hAnsi="Tahoma" w:cs="Tahoma"/>
          <w:sz w:val="16"/>
          <w:szCs w:val="20"/>
        </w:rPr>
        <w:t xml:space="preserve"> </w:t>
      </w:r>
      <w:r>
        <w:rPr>
          <w:noProof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20"/>
        </w:rPr>
        <w:t xml:space="preserve"> </w:t>
      </w:r>
    </w:p>
    <w:p w:rsidR="000944AC" w:rsidRDefault="000944A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4AC" w:rsidRDefault="00734629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контроля межведомственной комиссии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работой  летних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оздоровительных лагерей, организованных </w:t>
      </w:r>
    </w:p>
    <w:p w:rsidR="000944AC" w:rsidRDefault="00734629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базе общеобразовательных организаций </w:t>
      </w:r>
    </w:p>
    <w:p w:rsidR="000944AC" w:rsidRDefault="00734629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смена </w:t>
      </w:r>
    </w:p>
    <w:tbl>
      <w:tblPr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0944AC">
        <w:tc>
          <w:tcPr>
            <w:tcW w:w="8222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</w:tr>
      <w:tr w:rsidR="000944AC">
        <w:tc>
          <w:tcPr>
            <w:tcW w:w="8222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Придолинная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0944AC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AC">
        <w:tc>
          <w:tcPr>
            <w:tcW w:w="8222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10.06.2025</w:t>
            </w:r>
          </w:p>
        </w:tc>
      </w:tr>
      <w:tr w:rsidR="000944AC">
        <w:tc>
          <w:tcPr>
            <w:tcW w:w="8222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Яснополянская СОШ 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>им. Героя РФ Д. Васильченко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филиал МБОУ Яснополянская СОШ 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>им. Героя РФ Д. Васильченко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Style w:val="FontStyle16"/>
                <w:rFonts w:eastAsia="Lucida Sans Unicode"/>
                <w:sz w:val="28"/>
                <w:szCs w:val="28"/>
              </w:rPr>
              <w:t>Кинделинская</w:t>
            </w:r>
            <w:proofErr w:type="spellEnd"/>
            <w:r>
              <w:rPr>
                <w:rStyle w:val="FontStyle16"/>
                <w:rFonts w:eastAsia="Lucida Sans Unicode"/>
                <w:sz w:val="28"/>
                <w:szCs w:val="28"/>
              </w:rPr>
              <w:t xml:space="preserve"> СОШ</w:t>
            </w:r>
          </w:p>
          <w:p w:rsidR="000944AC" w:rsidRDefault="000944AC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4AC" w:rsidRDefault="007346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смена </w:t>
      </w:r>
    </w:p>
    <w:tbl>
      <w:tblPr>
        <w:tblW w:w="45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5"/>
      </w:tblGrid>
      <w:tr w:rsidR="000944AC">
        <w:tc>
          <w:tcPr>
            <w:tcW w:w="4535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17.07.2025</w:t>
            </w:r>
          </w:p>
        </w:tc>
      </w:tr>
      <w:tr w:rsidR="000944AC">
        <w:trPr>
          <w:trHeight w:val="480"/>
        </w:trPr>
        <w:tc>
          <w:tcPr>
            <w:tcW w:w="4535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Придолинная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0944AC">
            <w:pPr>
              <w:widowControl w:val="0"/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4AC" w:rsidRDefault="007346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смена </w:t>
      </w:r>
    </w:p>
    <w:tbl>
      <w:tblPr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0944AC">
        <w:trPr>
          <w:trHeight w:val="242"/>
        </w:trPr>
        <w:tc>
          <w:tcPr>
            <w:tcW w:w="8363" w:type="dxa"/>
          </w:tcPr>
          <w:p w:rsidR="000944AC" w:rsidRDefault="008F591A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24.07.2025</w:t>
            </w:r>
            <w:bookmarkStart w:id="0" w:name="_GoBack"/>
            <w:bookmarkEnd w:id="0"/>
          </w:p>
        </w:tc>
      </w:tr>
      <w:tr w:rsidR="000944AC">
        <w:trPr>
          <w:trHeight w:val="438"/>
        </w:trPr>
        <w:tc>
          <w:tcPr>
            <w:tcW w:w="8363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</w:tr>
      <w:tr w:rsidR="000944AC">
        <w:trPr>
          <w:trHeight w:val="827"/>
        </w:trPr>
        <w:tc>
          <w:tcPr>
            <w:tcW w:w="8363" w:type="dxa"/>
          </w:tcPr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Яснополянская СОШ 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>им. Героя РФ Д. Васильченко</w:t>
            </w:r>
          </w:p>
          <w:p w:rsidR="000944AC" w:rsidRDefault="00734629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944AC" w:rsidRDefault="000944AC">
            <w:pPr>
              <w:widowControl w:val="0"/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4AC" w:rsidRDefault="000944AC">
      <w:pPr>
        <w:tabs>
          <w:tab w:val="left" w:pos="540"/>
        </w:tabs>
        <w:spacing w:after="0"/>
      </w:pPr>
    </w:p>
    <w:sectPr w:rsidR="000944AC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4C73"/>
    <w:multiLevelType w:val="multilevel"/>
    <w:tmpl w:val="250EF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EB3BAE"/>
    <w:multiLevelType w:val="multilevel"/>
    <w:tmpl w:val="888ABC5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C"/>
    <w:rsid w:val="000944AC"/>
    <w:rsid w:val="00734629"/>
    <w:rsid w:val="008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D442D-91D6-4835-BD56-3BED5F4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A1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095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EE8"/>
    <w:rPr>
      <w:color w:val="0000FF"/>
      <w:u w:val="single"/>
    </w:rPr>
  </w:style>
  <w:style w:type="character" w:customStyle="1" w:styleId="50">
    <w:name w:val="Заголовок 5 Знак"/>
    <w:basedOn w:val="a0"/>
    <w:link w:val="5"/>
    <w:qFormat/>
    <w:rsid w:val="000956F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FontStyle16">
    <w:name w:val="Font Style16"/>
    <w:qFormat/>
    <w:rsid w:val="008727C2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57EC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1">
    <w:name w:val="FR1"/>
    <w:qFormat/>
    <w:rsid w:val="00822EE8"/>
    <w:pPr>
      <w:widowControl w:val="0"/>
      <w:jc w:val="both"/>
    </w:pPr>
    <w:rPr>
      <w:rFonts w:ascii="Arial" w:eastAsia="Times New Roman" w:hAnsi="Arial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822EE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F57EC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8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Екатерина</cp:lastModifiedBy>
  <cp:revision>2</cp:revision>
  <cp:lastPrinted>2025-04-08T13:09:00Z</cp:lastPrinted>
  <dcterms:created xsi:type="dcterms:W3CDTF">2023-04-03T08:23:00Z</dcterms:created>
  <dcterms:modified xsi:type="dcterms:W3CDTF">2025-04-21T10:29:00Z</dcterms:modified>
  <dc:language>ru-RU</dc:language>
</cp:coreProperties>
</file>